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9" w:rsidRPr="000E6CC9" w:rsidRDefault="000E6CC9" w:rsidP="000E6CC9">
      <w:pPr>
        <w:spacing w:line="600" w:lineRule="exact"/>
        <w:rPr>
          <w:rFonts w:ascii="黑体" w:eastAsia="黑体" w:hAnsi="黑体"/>
          <w:sz w:val="30"/>
          <w:szCs w:val="30"/>
        </w:rPr>
      </w:pPr>
      <w:r w:rsidRPr="000E6CC9">
        <w:rPr>
          <w:rFonts w:ascii="黑体" w:eastAsia="黑体" w:hAnsi="黑体" w:hint="eastAsia"/>
          <w:sz w:val="30"/>
          <w:szCs w:val="30"/>
        </w:rPr>
        <w:t>附件2</w:t>
      </w:r>
    </w:p>
    <w:p w:rsidR="000E6CC9" w:rsidRPr="000E6CC9" w:rsidRDefault="000E6CC9" w:rsidP="000E6CC9">
      <w:pPr>
        <w:adjustRightInd w:val="0"/>
        <w:snapToGrid w:val="0"/>
        <w:spacing w:line="500" w:lineRule="exact"/>
        <w:jc w:val="center"/>
        <w:rPr>
          <w:rFonts w:ascii="方正小标宋简体" w:eastAsia="方正小标宋简体" w:hAnsi="宋体"/>
          <w:b/>
          <w:sz w:val="36"/>
          <w:szCs w:val="36"/>
        </w:rPr>
      </w:pPr>
    </w:p>
    <w:p w:rsidR="000E6CC9" w:rsidRPr="000E6CC9" w:rsidRDefault="000E6CC9" w:rsidP="000E6CC9">
      <w:pPr>
        <w:adjustRightInd w:val="0"/>
        <w:snapToGrid w:val="0"/>
        <w:spacing w:line="560" w:lineRule="exact"/>
        <w:jc w:val="center"/>
        <w:rPr>
          <w:rFonts w:ascii="方正小标宋简体" w:eastAsia="方正小标宋简体" w:hAnsi="宋体"/>
          <w:sz w:val="44"/>
          <w:szCs w:val="36"/>
        </w:rPr>
      </w:pPr>
      <w:r w:rsidRPr="000E6CC9">
        <w:rPr>
          <w:rFonts w:ascii="方正小标宋简体" w:eastAsia="方正小标宋简体" w:hAnsi="宋体" w:hint="eastAsia"/>
          <w:sz w:val="44"/>
          <w:szCs w:val="36"/>
        </w:rPr>
        <w:t>三级中医骨伤医院分等标准和评审核心指标</w:t>
      </w:r>
    </w:p>
    <w:p w:rsidR="000E6CC9" w:rsidRPr="000E6CC9" w:rsidRDefault="000E6CC9" w:rsidP="000E6CC9">
      <w:pPr>
        <w:adjustRightInd w:val="0"/>
        <w:snapToGrid w:val="0"/>
        <w:spacing w:line="560" w:lineRule="exact"/>
        <w:jc w:val="center"/>
        <w:rPr>
          <w:rFonts w:ascii="方正小标宋简体" w:eastAsia="方正小标宋简体" w:hAnsi="宋体"/>
          <w:sz w:val="44"/>
          <w:szCs w:val="36"/>
        </w:rPr>
      </w:pPr>
      <w:r w:rsidRPr="000E6CC9">
        <w:rPr>
          <w:rFonts w:ascii="方正小标宋简体" w:eastAsia="方正小标宋简体" w:hAnsi="宋体" w:hint="eastAsia"/>
          <w:sz w:val="44"/>
          <w:szCs w:val="36"/>
        </w:rPr>
        <w:t>（2017年版）</w:t>
      </w:r>
    </w:p>
    <w:p w:rsidR="000E6CC9" w:rsidRPr="000E6CC9" w:rsidRDefault="000E6CC9" w:rsidP="000E6CC9">
      <w:pPr>
        <w:adjustRightInd w:val="0"/>
        <w:snapToGrid w:val="0"/>
        <w:spacing w:line="600" w:lineRule="exact"/>
        <w:ind w:firstLine="705"/>
        <w:jc w:val="center"/>
        <w:rPr>
          <w:rFonts w:ascii="黑体" w:eastAsia="黑体" w:hAnsi="宋体"/>
          <w:sz w:val="30"/>
          <w:szCs w:val="30"/>
        </w:rPr>
      </w:pPr>
    </w:p>
    <w:p w:rsidR="000E6CC9" w:rsidRPr="000E6CC9" w:rsidRDefault="000E6CC9" w:rsidP="000E6CC9">
      <w:pPr>
        <w:adjustRightInd w:val="0"/>
        <w:snapToGrid w:val="0"/>
        <w:spacing w:line="600" w:lineRule="exact"/>
        <w:ind w:firstLine="705"/>
        <w:rPr>
          <w:rFonts w:ascii="黑体" w:eastAsia="黑体" w:hAnsi="宋体"/>
          <w:sz w:val="32"/>
          <w:szCs w:val="32"/>
        </w:rPr>
      </w:pPr>
      <w:r w:rsidRPr="000E6CC9">
        <w:rPr>
          <w:rFonts w:ascii="黑体" w:eastAsia="黑体" w:hAnsi="宋体" w:hint="eastAsia"/>
          <w:sz w:val="32"/>
          <w:szCs w:val="32"/>
        </w:rPr>
        <w:t>一、三级中医骨伤医院分等标准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根据《中医医院评审暂行办法》，三级中医骨伤医院评审结论分为：甲等、乙等和不合格。《三级中医骨伤医院评审标准实施细则（2017年版）》共1100分，其中第一部分“中医药服务功能”600分，第二部分“综合服务功能”400分, 第三部分“党的建设”100分。三级甲等中医骨伤医院、三级乙等中医骨伤医院和不合格中医骨伤医院划分标准如下：</w:t>
      </w:r>
    </w:p>
    <w:p w:rsidR="000E6CC9" w:rsidRPr="000E6CC9" w:rsidRDefault="000E6CC9" w:rsidP="000E6CC9">
      <w:pPr>
        <w:adjustRightInd w:val="0"/>
        <w:snapToGrid w:val="0"/>
        <w:spacing w:line="600" w:lineRule="exact"/>
        <w:ind w:firstLine="705"/>
        <w:rPr>
          <w:rFonts w:ascii="楷体_GB2312" w:eastAsia="楷体_GB2312" w:hAnsi="宋体"/>
          <w:b/>
          <w:sz w:val="32"/>
          <w:szCs w:val="32"/>
        </w:rPr>
      </w:pPr>
      <w:r w:rsidRPr="000E6CC9">
        <w:rPr>
          <w:rFonts w:ascii="楷体_GB2312" w:eastAsia="楷体_GB2312" w:hAnsi="宋体" w:hint="eastAsia"/>
          <w:b/>
          <w:sz w:val="32"/>
          <w:szCs w:val="32"/>
        </w:rPr>
        <w:t>（一）三级甲等中医骨伤医院应满足以下条件：</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1．第一部分和</w:t>
      </w:r>
      <w:r w:rsidRPr="000E6CC9">
        <w:rPr>
          <w:rFonts w:ascii="仿宋_GB2312" w:eastAsia="仿宋_GB2312" w:hAnsi="宋体"/>
          <w:sz w:val="32"/>
          <w:szCs w:val="32"/>
        </w:rPr>
        <w:t>第二部分</w:t>
      </w:r>
      <w:r w:rsidRPr="000E6CC9">
        <w:rPr>
          <w:rFonts w:ascii="仿宋_GB2312" w:eastAsia="仿宋_GB2312" w:hAnsi="宋体" w:hint="eastAsia"/>
          <w:sz w:val="32"/>
          <w:szCs w:val="32"/>
        </w:rPr>
        <w:t>得分总分≥9</w:t>
      </w:r>
      <w:r w:rsidRPr="000E6CC9">
        <w:rPr>
          <w:rFonts w:ascii="仿宋_GB2312" w:eastAsia="仿宋_GB2312" w:hAnsi="宋体"/>
          <w:sz w:val="32"/>
          <w:szCs w:val="32"/>
        </w:rPr>
        <w:t>0</w:t>
      </w:r>
      <w:r w:rsidRPr="000E6CC9">
        <w:rPr>
          <w:rFonts w:ascii="仿宋_GB2312" w:eastAsia="仿宋_GB2312" w:hAnsi="宋体" w:hint="eastAsia"/>
          <w:sz w:val="32"/>
          <w:szCs w:val="32"/>
        </w:rPr>
        <w:t>0分；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2．第一部分每章的分值不低于该章总分的85%；</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3．第二部分得分≥340分；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4．第</w:t>
      </w:r>
      <w:r w:rsidRPr="000E6CC9">
        <w:rPr>
          <w:rFonts w:ascii="仿宋_GB2312" w:eastAsia="仿宋_GB2312" w:hAnsi="宋体"/>
          <w:sz w:val="32"/>
          <w:szCs w:val="32"/>
        </w:rPr>
        <w:t>三部分得分</w:t>
      </w:r>
      <w:r w:rsidRPr="000E6CC9">
        <w:rPr>
          <w:rFonts w:ascii="仿宋_GB2312" w:eastAsia="仿宋_GB2312" w:hAnsi="宋体" w:hint="eastAsia"/>
          <w:sz w:val="32"/>
          <w:szCs w:val="32"/>
        </w:rPr>
        <w:t>≥</w:t>
      </w:r>
      <w:r w:rsidRPr="000E6CC9">
        <w:rPr>
          <w:rFonts w:ascii="仿宋_GB2312" w:eastAsia="仿宋_GB2312" w:hAnsi="宋体"/>
          <w:sz w:val="32"/>
          <w:szCs w:val="32"/>
        </w:rPr>
        <w:t>90</w:t>
      </w:r>
      <w:r w:rsidRPr="000E6CC9">
        <w:rPr>
          <w:rFonts w:ascii="仿宋_GB2312" w:eastAsia="仿宋_GB2312" w:hAnsi="宋体" w:hint="eastAsia"/>
          <w:sz w:val="32"/>
          <w:szCs w:val="32"/>
        </w:rPr>
        <w:t>分</w:t>
      </w:r>
      <w:r w:rsidRPr="000E6CC9">
        <w:rPr>
          <w:rFonts w:ascii="仿宋_GB2312" w:eastAsia="仿宋_GB2312" w:hAnsi="宋体"/>
          <w:sz w:val="32"/>
          <w:szCs w:val="32"/>
        </w:rPr>
        <w:t>；</w:t>
      </w:r>
      <w:r w:rsidRPr="000E6CC9">
        <w:rPr>
          <w:rFonts w:ascii="仿宋_GB2312" w:eastAsia="仿宋_GB2312" w:hAnsi="宋体" w:hint="eastAsia"/>
          <w:sz w:val="32"/>
          <w:szCs w:val="32"/>
        </w:rPr>
        <w:t xml:space="preserve"> </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5．医院感染管理部分得分≥21分；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6．核心指标全部符合要求；</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sz w:val="32"/>
          <w:szCs w:val="32"/>
        </w:rPr>
        <w:t>7</w:t>
      </w:r>
      <w:r w:rsidRPr="000E6CC9">
        <w:rPr>
          <w:rFonts w:ascii="仿宋_GB2312" w:eastAsia="仿宋_GB2312" w:hAnsi="宋体" w:hint="eastAsia"/>
          <w:sz w:val="32"/>
          <w:szCs w:val="32"/>
        </w:rPr>
        <w:t>．达到省级中医药管理部门附加条款对三级甲等中医骨伤医院的要求。</w:t>
      </w:r>
    </w:p>
    <w:p w:rsidR="000E6CC9" w:rsidRPr="000E6CC9" w:rsidRDefault="000E6CC9" w:rsidP="000E6CC9">
      <w:pPr>
        <w:adjustRightInd w:val="0"/>
        <w:snapToGrid w:val="0"/>
        <w:spacing w:line="600" w:lineRule="exact"/>
        <w:ind w:firstLine="705"/>
        <w:rPr>
          <w:rFonts w:ascii="楷体_GB2312" w:eastAsia="楷体_GB2312" w:hAnsi="宋体"/>
          <w:b/>
          <w:sz w:val="32"/>
          <w:szCs w:val="32"/>
        </w:rPr>
      </w:pPr>
      <w:r w:rsidRPr="000E6CC9">
        <w:rPr>
          <w:rFonts w:ascii="楷体_GB2312" w:eastAsia="楷体_GB2312" w:hAnsi="宋体" w:hint="eastAsia"/>
          <w:b/>
          <w:sz w:val="32"/>
          <w:szCs w:val="32"/>
        </w:rPr>
        <w:t>（二）三级乙等中医骨伤医院应满足以下条件：</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lastRenderedPageBreak/>
        <w:t>1．第一</w:t>
      </w:r>
      <w:r w:rsidRPr="000E6CC9">
        <w:rPr>
          <w:rFonts w:ascii="仿宋_GB2312" w:eastAsia="仿宋_GB2312" w:hAnsi="宋体"/>
          <w:sz w:val="32"/>
          <w:szCs w:val="32"/>
        </w:rPr>
        <w:t>部分</w:t>
      </w:r>
      <w:r w:rsidRPr="000E6CC9">
        <w:rPr>
          <w:rFonts w:ascii="仿宋_GB2312" w:eastAsia="仿宋_GB2312" w:hAnsi="宋体" w:hint="eastAsia"/>
          <w:sz w:val="32"/>
          <w:szCs w:val="32"/>
        </w:rPr>
        <w:t>和</w:t>
      </w:r>
      <w:r w:rsidRPr="000E6CC9">
        <w:rPr>
          <w:rFonts w:ascii="仿宋_GB2312" w:eastAsia="仿宋_GB2312" w:hAnsi="宋体"/>
          <w:sz w:val="32"/>
          <w:szCs w:val="32"/>
        </w:rPr>
        <w:t>第二部分</w:t>
      </w:r>
      <w:r w:rsidRPr="000E6CC9">
        <w:rPr>
          <w:rFonts w:ascii="仿宋_GB2312" w:eastAsia="仿宋_GB2312" w:hAnsi="宋体" w:hint="eastAsia"/>
          <w:sz w:val="32"/>
          <w:szCs w:val="32"/>
        </w:rPr>
        <w:t>得分总分≥</w:t>
      </w:r>
      <w:r w:rsidRPr="000E6CC9">
        <w:rPr>
          <w:rFonts w:ascii="仿宋_GB2312" w:eastAsia="仿宋_GB2312" w:hAnsi="宋体"/>
          <w:sz w:val="32"/>
          <w:szCs w:val="32"/>
        </w:rPr>
        <w:t>750</w:t>
      </w:r>
      <w:r w:rsidRPr="000E6CC9">
        <w:rPr>
          <w:rFonts w:ascii="仿宋_GB2312" w:eastAsia="仿宋_GB2312" w:hAnsi="宋体" w:hint="eastAsia"/>
          <w:sz w:val="32"/>
          <w:szCs w:val="32"/>
        </w:rPr>
        <w:t>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 xml:space="preserve">2．第二部分得分≥280分； </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3．第</w:t>
      </w:r>
      <w:r w:rsidRPr="000E6CC9">
        <w:rPr>
          <w:rFonts w:ascii="仿宋_GB2312" w:eastAsia="仿宋_GB2312" w:hAnsi="宋体"/>
          <w:sz w:val="32"/>
          <w:szCs w:val="32"/>
        </w:rPr>
        <w:t>三部分得分</w:t>
      </w:r>
      <w:r w:rsidRPr="000E6CC9">
        <w:rPr>
          <w:rFonts w:ascii="仿宋_GB2312" w:eastAsia="仿宋_GB2312" w:hAnsi="宋体" w:hint="eastAsia"/>
          <w:sz w:val="32"/>
          <w:szCs w:val="32"/>
        </w:rPr>
        <w:t>≥</w:t>
      </w:r>
      <w:r w:rsidRPr="000E6CC9">
        <w:rPr>
          <w:rFonts w:ascii="仿宋_GB2312" w:eastAsia="仿宋_GB2312" w:hAnsi="宋体"/>
          <w:sz w:val="32"/>
          <w:szCs w:val="32"/>
        </w:rPr>
        <w:t>90</w:t>
      </w:r>
      <w:r w:rsidRPr="000E6CC9">
        <w:rPr>
          <w:rFonts w:ascii="仿宋_GB2312" w:eastAsia="仿宋_GB2312" w:hAnsi="宋体" w:hint="eastAsia"/>
          <w:sz w:val="32"/>
          <w:szCs w:val="32"/>
        </w:rPr>
        <w:t>分</w:t>
      </w:r>
      <w:r w:rsidRPr="000E6CC9">
        <w:rPr>
          <w:rFonts w:ascii="仿宋_GB2312" w:eastAsia="仿宋_GB2312" w:hAnsi="宋体"/>
          <w:sz w:val="32"/>
          <w:szCs w:val="32"/>
        </w:rPr>
        <w:t>；</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4．中医药服务功能部分核心指标符合要求数≥10；综合服务功能部分核心指标符合要求数≥8；</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sz w:val="32"/>
          <w:szCs w:val="32"/>
        </w:rPr>
        <w:t>5</w:t>
      </w:r>
      <w:r w:rsidRPr="000E6CC9">
        <w:rPr>
          <w:rFonts w:ascii="仿宋_GB2312" w:eastAsia="仿宋_GB2312" w:hAnsi="宋体" w:hint="eastAsia"/>
          <w:sz w:val="32"/>
          <w:szCs w:val="32"/>
        </w:rPr>
        <w:t>．达到省级中医药管理部门附加条款对三级乙等中医骨伤医院的要求。</w:t>
      </w:r>
    </w:p>
    <w:p w:rsidR="000E6CC9" w:rsidRPr="000E6CC9" w:rsidRDefault="000E6CC9" w:rsidP="000E6CC9">
      <w:pPr>
        <w:adjustRightInd w:val="0"/>
        <w:snapToGrid w:val="0"/>
        <w:spacing w:line="600" w:lineRule="exact"/>
        <w:ind w:firstLine="705"/>
        <w:rPr>
          <w:rFonts w:ascii="楷体_GB2312" w:eastAsia="楷体_GB2312" w:hAnsi="宋体"/>
          <w:b/>
          <w:sz w:val="32"/>
          <w:szCs w:val="32"/>
        </w:rPr>
      </w:pPr>
      <w:r w:rsidRPr="000E6CC9">
        <w:rPr>
          <w:rFonts w:ascii="楷体_GB2312" w:eastAsia="楷体_GB2312" w:hAnsi="宋体" w:hint="eastAsia"/>
          <w:b/>
          <w:sz w:val="32"/>
          <w:szCs w:val="32"/>
        </w:rPr>
        <w:t>（三）有以下情形之一的，评审结论即定为不合格：</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1．第一</w:t>
      </w:r>
      <w:r w:rsidRPr="000E6CC9">
        <w:rPr>
          <w:rFonts w:ascii="仿宋_GB2312" w:eastAsia="仿宋_GB2312" w:hAnsi="宋体"/>
          <w:sz w:val="32"/>
          <w:szCs w:val="32"/>
        </w:rPr>
        <w:t>部分</w:t>
      </w:r>
      <w:r w:rsidRPr="000E6CC9">
        <w:rPr>
          <w:rFonts w:ascii="仿宋_GB2312" w:eastAsia="仿宋_GB2312" w:hAnsi="宋体" w:hint="eastAsia"/>
          <w:sz w:val="32"/>
          <w:szCs w:val="32"/>
        </w:rPr>
        <w:t>和</w:t>
      </w:r>
      <w:r w:rsidRPr="000E6CC9">
        <w:rPr>
          <w:rFonts w:ascii="仿宋_GB2312" w:eastAsia="仿宋_GB2312" w:hAnsi="宋体"/>
          <w:sz w:val="32"/>
          <w:szCs w:val="32"/>
        </w:rPr>
        <w:t>第二部分</w:t>
      </w:r>
      <w:r w:rsidRPr="000E6CC9">
        <w:rPr>
          <w:rFonts w:ascii="仿宋_GB2312" w:eastAsia="仿宋_GB2312" w:hAnsi="宋体" w:hint="eastAsia"/>
          <w:sz w:val="32"/>
          <w:szCs w:val="32"/>
        </w:rPr>
        <w:t>得分总分＜</w:t>
      </w:r>
      <w:r w:rsidRPr="000E6CC9">
        <w:rPr>
          <w:rFonts w:ascii="仿宋_GB2312" w:eastAsia="仿宋_GB2312" w:hAnsi="宋体"/>
          <w:sz w:val="32"/>
          <w:szCs w:val="32"/>
        </w:rPr>
        <w:t>750</w:t>
      </w:r>
      <w:r w:rsidRPr="000E6CC9">
        <w:rPr>
          <w:rFonts w:ascii="仿宋_GB2312" w:eastAsia="仿宋_GB2312" w:hAnsi="宋体" w:hint="eastAsia"/>
          <w:sz w:val="32"/>
          <w:szCs w:val="32"/>
        </w:rPr>
        <w:t>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 xml:space="preserve">2．第二部分得分＜280分； </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hint="eastAsia"/>
          <w:sz w:val="32"/>
          <w:szCs w:val="32"/>
        </w:rPr>
        <w:t>3．第三部分得分＜</w:t>
      </w:r>
      <w:r w:rsidRPr="000E6CC9">
        <w:rPr>
          <w:rFonts w:ascii="仿宋_GB2312" w:eastAsia="仿宋_GB2312" w:hAnsi="宋体"/>
          <w:sz w:val="32"/>
          <w:szCs w:val="32"/>
        </w:rPr>
        <w:t>9</w:t>
      </w:r>
      <w:r w:rsidRPr="000E6CC9">
        <w:rPr>
          <w:rFonts w:ascii="仿宋_GB2312" w:eastAsia="仿宋_GB2312" w:hAnsi="宋体" w:hint="eastAsia"/>
          <w:sz w:val="32"/>
          <w:szCs w:val="32"/>
        </w:rPr>
        <w:t>0分；</w:t>
      </w:r>
    </w:p>
    <w:p w:rsidR="000E6CC9" w:rsidRPr="000E6CC9" w:rsidRDefault="000E6CC9" w:rsidP="000E6CC9">
      <w:pPr>
        <w:adjustRightInd w:val="0"/>
        <w:snapToGrid w:val="0"/>
        <w:spacing w:line="600" w:lineRule="exact"/>
        <w:ind w:firstLine="705"/>
        <w:rPr>
          <w:rFonts w:ascii="仿宋_GB2312" w:eastAsia="仿宋_GB2312" w:hAnsi="宋体"/>
          <w:sz w:val="32"/>
          <w:szCs w:val="32"/>
        </w:rPr>
      </w:pPr>
      <w:r w:rsidRPr="000E6CC9">
        <w:rPr>
          <w:rFonts w:ascii="仿宋_GB2312" w:eastAsia="仿宋_GB2312" w:hAnsi="宋体"/>
          <w:sz w:val="32"/>
          <w:szCs w:val="32"/>
        </w:rPr>
        <w:t>4</w:t>
      </w:r>
      <w:r w:rsidRPr="000E6CC9">
        <w:rPr>
          <w:rFonts w:ascii="仿宋_GB2312" w:eastAsia="仿宋_GB2312" w:hAnsi="宋体" w:hint="eastAsia"/>
          <w:sz w:val="32"/>
          <w:szCs w:val="32"/>
        </w:rPr>
        <w:t>．中医药服务功能部分核心指标符合要求数＜10或综合服务功能部分核心指标符合要求数＜8。</w:t>
      </w:r>
    </w:p>
    <w:p w:rsidR="000E6CC9" w:rsidRPr="000E6CC9" w:rsidRDefault="000E6CC9" w:rsidP="000E6CC9">
      <w:pPr>
        <w:adjustRightInd w:val="0"/>
        <w:snapToGrid w:val="0"/>
        <w:spacing w:line="600" w:lineRule="exact"/>
        <w:ind w:firstLine="675"/>
        <w:rPr>
          <w:rFonts w:ascii="黑体" w:eastAsia="黑体" w:hAnsi="宋体"/>
          <w:sz w:val="32"/>
          <w:szCs w:val="32"/>
        </w:rPr>
      </w:pPr>
      <w:r w:rsidRPr="000E6CC9">
        <w:rPr>
          <w:rFonts w:ascii="黑体" w:eastAsia="黑体" w:hAnsi="宋体" w:hint="eastAsia"/>
          <w:sz w:val="32"/>
          <w:szCs w:val="32"/>
        </w:rPr>
        <w:t>二、《三级中医骨伤医院评审标准（2012年版）》核心指标</w:t>
      </w:r>
    </w:p>
    <w:p w:rsidR="000E6CC9" w:rsidRPr="000E6CC9" w:rsidRDefault="000E6CC9" w:rsidP="000E6CC9">
      <w:pPr>
        <w:adjustRightInd w:val="0"/>
        <w:snapToGrid w:val="0"/>
        <w:spacing w:line="600" w:lineRule="exact"/>
        <w:ind w:firstLineChars="200" w:firstLine="640"/>
        <w:jc w:val="left"/>
        <w:rPr>
          <w:rFonts w:ascii="仿宋_GB2312" w:eastAsia="仿宋_GB2312" w:hAnsi="宋体"/>
          <w:sz w:val="32"/>
          <w:szCs w:val="32"/>
        </w:rPr>
      </w:pPr>
      <w:r w:rsidRPr="000E6CC9">
        <w:rPr>
          <w:rFonts w:ascii="仿宋_GB2312" w:eastAsia="仿宋_GB2312" w:hAnsi="宋体" w:hint="eastAsia"/>
          <w:sz w:val="32"/>
          <w:szCs w:val="32"/>
        </w:rPr>
        <w:t>《标准》及细则中将最基本、最重要，若未达到要求势必影响特色优势、中医临床疗效、医疗质量与患者安全的指标，列为核心指标，具备否决作用。核心指标及要求如下：</w:t>
      </w:r>
    </w:p>
    <w:p w:rsidR="000E6CC9" w:rsidRPr="000E6CC9" w:rsidRDefault="000E6CC9" w:rsidP="000E6CC9">
      <w:pPr>
        <w:adjustRightInd w:val="0"/>
        <w:snapToGrid w:val="0"/>
        <w:spacing w:line="600" w:lineRule="exact"/>
        <w:ind w:firstLine="600"/>
        <w:rPr>
          <w:rFonts w:ascii="楷体_GB2312" w:eastAsia="楷体_GB2312" w:hAnsi="宋体"/>
          <w:b/>
          <w:sz w:val="32"/>
          <w:szCs w:val="32"/>
        </w:rPr>
      </w:pPr>
      <w:r w:rsidRPr="000E6CC9">
        <w:rPr>
          <w:rFonts w:ascii="楷体_GB2312" w:eastAsia="楷体_GB2312" w:hAnsi="宋体" w:hint="eastAsia"/>
          <w:b/>
          <w:sz w:val="32"/>
          <w:szCs w:val="32"/>
        </w:rPr>
        <w:t>（一）中医药服务功能部分核心指标</w:t>
      </w:r>
    </w:p>
    <w:p w:rsidR="000E6CC9" w:rsidRPr="000E6CC9" w:rsidRDefault="000E6CC9" w:rsidP="000E6CC9">
      <w:pPr>
        <w:adjustRightInd w:val="0"/>
        <w:snapToGrid w:val="0"/>
        <w:spacing w:line="600" w:lineRule="exact"/>
        <w:ind w:firstLine="600"/>
        <w:rPr>
          <w:rFonts w:ascii="仿宋_GB2312" w:eastAsia="仿宋_GB2312" w:hAnsi="宋体"/>
          <w:sz w:val="32"/>
          <w:szCs w:val="32"/>
        </w:rPr>
      </w:pPr>
      <w:r w:rsidRPr="000E6CC9">
        <w:rPr>
          <w:rFonts w:ascii="仿宋_GB2312" w:eastAsia="仿宋_GB2312" w:hAnsi="宋体" w:hint="eastAsia"/>
          <w:b/>
          <w:sz w:val="32"/>
          <w:szCs w:val="32"/>
        </w:rPr>
        <w:t>核心指标</w:t>
      </w:r>
      <w:proofErr w:type="gramStart"/>
      <w:r w:rsidRPr="000E6CC9">
        <w:rPr>
          <w:rFonts w:ascii="仿宋_GB2312" w:eastAsia="仿宋_GB2312" w:hAnsi="宋体" w:hint="eastAsia"/>
          <w:b/>
          <w:sz w:val="32"/>
          <w:szCs w:val="32"/>
        </w:rPr>
        <w:t>一</w:t>
      </w:r>
      <w:proofErr w:type="gramEnd"/>
      <w:r w:rsidRPr="000E6CC9">
        <w:rPr>
          <w:rFonts w:ascii="仿宋_GB2312" w:eastAsia="仿宋_GB2312" w:hAnsi="宋体" w:hint="eastAsia"/>
          <w:b/>
          <w:sz w:val="32"/>
          <w:szCs w:val="32"/>
        </w:rPr>
        <w:t>：</w:t>
      </w:r>
      <w:r w:rsidRPr="000E6CC9">
        <w:rPr>
          <w:rFonts w:ascii="仿宋_GB2312" w:eastAsia="仿宋_GB2312" w:hAnsi="宋体" w:hint="eastAsia"/>
          <w:sz w:val="32"/>
          <w:szCs w:val="32"/>
        </w:rPr>
        <w:t>科室综合考核目标中有发挥中医药特色优势和提高中医临床疗效的相关指标。</w:t>
      </w:r>
    </w:p>
    <w:p w:rsidR="000E6CC9" w:rsidRPr="000E6CC9" w:rsidRDefault="000E6CC9" w:rsidP="000E6CC9">
      <w:pPr>
        <w:adjustRightInd w:val="0"/>
        <w:snapToGrid w:val="0"/>
        <w:spacing w:line="600" w:lineRule="exact"/>
        <w:ind w:firstLine="600"/>
        <w:rPr>
          <w:rFonts w:ascii="仿宋_GB2312" w:eastAsia="仿宋_GB2312" w:hAnsi="宋体"/>
          <w:sz w:val="32"/>
          <w:szCs w:val="32"/>
        </w:rPr>
      </w:pPr>
      <w:r w:rsidRPr="000E6CC9">
        <w:rPr>
          <w:rFonts w:ascii="仿宋_GB2312" w:eastAsia="仿宋_GB2312" w:hAnsi="宋体" w:hint="eastAsia"/>
          <w:b/>
          <w:sz w:val="32"/>
          <w:szCs w:val="32"/>
        </w:rPr>
        <w:t>核心指标二：</w:t>
      </w:r>
      <w:r w:rsidRPr="000E6CC9">
        <w:rPr>
          <w:rFonts w:ascii="仿宋_GB2312" w:eastAsia="仿宋_GB2312" w:hAnsi="宋体" w:hint="eastAsia"/>
          <w:sz w:val="32"/>
          <w:szCs w:val="32"/>
        </w:rPr>
        <w:t>中医类别执业医师和系统接受中医药专业培训两年以上的非中医类别执业医师占执业医师总数的比例</w:t>
      </w:r>
      <w:r w:rsidRPr="000E6CC9">
        <w:rPr>
          <w:rFonts w:ascii="仿宋_GB2312" w:eastAsia="仿宋_GB2312" w:hAnsi="宋体" w:cs="宋体" w:hint="eastAsia"/>
          <w:kern w:val="0"/>
          <w:sz w:val="32"/>
          <w:szCs w:val="32"/>
        </w:rPr>
        <w:t>≥</w:t>
      </w:r>
      <w:r w:rsidRPr="000E6CC9">
        <w:rPr>
          <w:rFonts w:ascii="仿宋_GB2312" w:eastAsia="仿宋_GB2312" w:hAnsi="宋体" w:hint="eastAsia"/>
          <w:sz w:val="32"/>
          <w:szCs w:val="32"/>
        </w:rPr>
        <w:t>60%；</w:t>
      </w:r>
      <w:r w:rsidRPr="000E6CC9">
        <w:rPr>
          <w:rFonts w:ascii="仿宋_GB2312" w:eastAsia="仿宋_GB2312" w:hAnsi="宋体" w:hint="eastAsia"/>
          <w:sz w:val="32"/>
          <w:szCs w:val="32"/>
        </w:rPr>
        <w:lastRenderedPageBreak/>
        <w:t>或中医类</w:t>
      </w:r>
      <w:smartTag w:uri="urn:schemas-microsoft-com:office:smarttags" w:element="PersonName">
        <w:smartTagPr>
          <w:attr w:name="ProductID" w:val="别执业"/>
        </w:smartTagPr>
        <w:r w:rsidRPr="000E6CC9">
          <w:rPr>
            <w:rFonts w:ascii="仿宋_GB2312" w:eastAsia="仿宋_GB2312" w:hAnsi="宋体" w:hint="eastAsia"/>
            <w:sz w:val="32"/>
            <w:szCs w:val="32"/>
          </w:rPr>
          <w:t>别执业</w:t>
        </w:r>
      </w:smartTag>
      <w:r w:rsidRPr="000E6CC9">
        <w:rPr>
          <w:rFonts w:ascii="仿宋_GB2312" w:eastAsia="仿宋_GB2312" w:hAnsi="宋体" w:hint="eastAsia"/>
          <w:sz w:val="32"/>
          <w:szCs w:val="32"/>
        </w:rPr>
        <w:t>医师和系统接受中医药专业培训两年以上的非中医类别执业医师占执业医师总数的比例未达到60%，但比上年度增长超过了5个百分点。</w:t>
      </w:r>
    </w:p>
    <w:p w:rsidR="000E6CC9" w:rsidRPr="000E6CC9" w:rsidRDefault="000E6CC9" w:rsidP="000E6CC9">
      <w:pPr>
        <w:adjustRightInd w:val="0"/>
        <w:snapToGrid w:val="0"/>
        <w:spacing w:line="600" w:lineRule="exact"/>
        <w:ind w:firstLineChars="200" w:firstLine="643"/>
        <w:rPr>
          <w:rFonts w:ascii="仿宋_GB2312" w:eastAsia="仿宋_GB2312" w:hAnsi="宋体"/>
          <w:sz w:val="32"/>
          <w:szCs w:val="32"/>
        </w:rPr>
      </w:pPr>
      <w:r w:rsidRPr="000E6CC9">
        <w:rPr>
          <w:rFonts w:ascii="仿宋_GB2312" w:eastAsia="仿宋_GB2312" w:hAnsi="宋体" w:hint="eastAsia"/>
          <w:b/>
          <w:sz w:val="32"/>
          <w:szCs w:val="32"/>
        </w:rPr>
        <w:t>核心指标三：</w:t>
      </w:r>
      <w:r w:rsidRPr="000E6CC9">
        <w:rPr>
          <w:rFonts w:ascii="仿宋_GB2312" w:eastAsia="仿宋_GB2312" w:hAnsi="仿宋" w:hint="eastAsia"/>
          <w:kern w:val="0"/>
          <w:sz w:val="32"/>
          <w:szCs w:val="32"/>
        </w:rPr>
        <w:t>中医类</w:t>
      </w:r>
      <w:smartTag w:uri="urn:schemas-microsoft-com:office:smarttags" w:element="PersonName">
        <w:smartTagPr>
          <w:attr w:name="ProductID" w:val="别执业"/>
        </w:smartTagPr>
        <w:r w:rsidRPr="000E6CC9">
          <w:rPr>
            <w:rFonts w:ascii="仿宋_GB2312" w:eastAsia="仿宋_GB2312" w:hAnsi="仿宋" w:hint="eastAsia"/>
            <w:kern w:val="0"/>
            <w:sz w:val="32"/>
            <w:szCs w:val="32"/>
          </w:rPr>
          <w:t>别执业</w:t>
        </w:r>
      </w:smartTag>
      <w:r w:rsidRPr="000E6CC9">
        <w:rPr>
          <w:rFonts w:ascii="仿宋_GB2312" w:eastAsia="仿宋_GB2312" w:hAnsi="仿宋" w:hint="eastAsia"/>
          <w:kern w:val="0"/>
          <w:sz w:val="32"/>
          <w:szCs w:val="32"/>
        </w:rPr>
        <w:t>医师应熟练掌握常用骨伤科中医诊疗技术</w:t>
      </w:r>
      <w:r w:rsidRPr="000E6CC9">
        <w:rPr>
          <w:rFonts w:ascii="仿宋_GB2312" w:eastAsia="仿宋_GB2312" w:hAnsi="宋体" w:cs="宋体" w:hint="eastAsia"/>
          <w:kern w:val="0"/>
          <w:sz w:val="32"/>
          <w:szCs w:val="32"/>
        </w:rPr>
        <w:t>。</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hint="eastAsia"/>
          <w:b/>
          <w:sz w:val="32"/>
          <w:szCs w:val="32"/>
        </w:rPr>
        <w:t>核心指标四：</w:t>
      </w:r>
      <w:r w:rsidRPr="000E6CC9">
        <w:rPr>
          <w:rFonts w:ascii="仿宋_GB2312" w:eastAsia="仿宋_GB2312" w:hAnsi="宋体" w:hint="eastAsia"/>
          <w:sz w:val="32"/>
          <w:szCs w:val="32"/>
        </w:rPr>
        <w:t>骨伤专科</w:t>
      </w:r>
      <w:r w:rsidRPr="000E6CC9">
        <w:rPr>
          <w:rFonts w:ascii="仿宋_GB2312" w:eastAsia="仿宋_GB2312" w:hAnsi="仿宋" w:hint="eastAsia"/>
          <w:kern w:val="0"/>
          <w:sz w:val="32"/>
          <w:szCs w:val="32"/>
        </w:rPr>
        <w:t>制定本专科优势病种和常见病种中医诊疗方案，体现医院本科室临床实际，突出骨伤专科独特的中医药诊疗技术和方法，并在临床中应用。所抽查的</w:t>
      </w:r>
      <w:r w:rsidRPr="000E6CC9">
        <w:rPr>
          <w:rFonts w:ascii="仿宋_GB2312" w:eastAsia="仿宋_GB2312" w:hAnsi="宋体" w:cs="宋体" w:hint="eastAsia"/>
          <w:kern w:val="0"/>
          <w:sz w:val="32"/>
          <w:szCs w:val="32"/>
        </w:rPr>
        <w:t>2个亚专科6个病种中，符合要求的、完善的中医诊疗方案数量≥4个。</w:t>
      </w:r>
    </w:p>
    <w:p w:rsidR="000E6CC9" w:rsidRPr="000E6CC9" w:rsidRDefault="000E6CC9" w:rsidP="000E6CC9">
      <w:pPr>
        <w:adjustRightInd w:val="0"/>
        <w:snapToGrid w:val="0"/>
        <w:spacing w:line="600" w:lineRule="exact"/>
        <w:ind w:firstLine="600"/>
        <w:rPr>
          <w:rFonts w:ascii="仿宋_GB2312" w:eastAsia="仿宋_GB2312" w:hAnsi="宋体"/>
          <w:sz w:val="32"/>
          <w:szCs w:val="32"/>
        </w:rPr>
      </w:pPr>
      <w:r w:rsidRPr="000E6CC9">
        <w:rPr>
          <w:rFonts w:ascii="仿宋_GB2312" w:eastAsia="仿宋_GB2312" w:hAnsi="宋体" w:cs="宋体" w:hint="eastAsia"/>
          <w:b/>
          <w:kern w:val="0"/>
          <w:sz w:val="32"/>
          <w:szCs w:val="32"/>
        </w:rPr>
        <w:t>核心指标五：</w:t>
      </w:r>
      <w:r w:rsidRPr="000E6CC9">
        <w:rPr>
          <w:rFonts w:ascii="仿宋_GB2312" w:eastAsia="仿宋_GB2312" w:hAnsi="宋体" w:hint="eastAsia"/>
          <w:sz w:val="32"/>
          <w:szCs w:val="32"/>
        </w:rPr>
        <w:t>医院和临床科室命名符合国家中医药管理局《关于规范中医医院与临床科室名称的通知》（国中医药发〔2008〕12号）等有关规定，科室名称不得有中医、西医、中西医结合字样。治未病科原则上以“治未病科”（“治未病中心”）作为科室名称（由于历史沿革产生的“中医预防保健科”命名可保留；因整合健康管理资源产生的“健康管理中心（治未病）”等命名可采用），不得以“国医堂”、“名医工作室”、“保健中心”、“体检部”、“预防保健科”作为治未病科名称。</w:t>
      </w:r>
    </w:p>
    <w:p w:rsidR="000E6CC9" w:rsidRPr="000E6CC9" w:rsidRDefault="000E6CC9" w:rsidP="000E6CC9">
      <w:pPr>
        <w:adjustRightInd w:val="0"/>
        <w:snapToGrid w:val="0"/>
        <w:spacing w:line="600" w:lineRule="exact"/>
        <w:ind w:firstLine="600"/>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核心指标六</w:t>
      </w:r>
      <w:r w:rsidRPr="000E6CC9">
        <w:rPr>
          <w:rFonts w:ascii="仿宋_GB2312" w:eastAsia="仿宋_GB2312" w:hAnsi="宋体" w:cs="宋体" w:hint="eastAsia"/>
          <w:kern w:val="0"/>
          <w:sz w:val="32"/>
          <w:szCs w:val="32"/>
        </w:rPr>
        <w:t>：临床科室（</w:t>
      </w:r>
      <w:r w:rsidRPr="000E6CC9">
        <w:rPr>
          <w:rFonts w:ascii="仿宋_GB2312" w:eastAsia="仿宋_GB2312" w:hAnsi="仿宋" w:hint="eastAsia"/>
          <w:sz w:val="32"/>
          <w:szCs w:val="32"/>
        </w:rPr>
        <w:t>除麻醉科外</w:t>
      </w:r>
      <w:r w:rsidRPr="000E6CC9">
        <w:rPr>
          <w:rFonts w:ascii="仿宋_GB2312" w:eastAsia="仿宋_GB2312" w:hAnsi="宋体" w:cs="宋体" w:hint="eastAsia"/>
          <w:kern w:val="0"/>
          <w:sz w:val="32"/>
          <w:szCs w:val="32"/>
        </w:rPr>
        <w:t>）</w:t>
      </w:r>
      <w:r w:rsidRPr="000E6CC9">
        <w:rPr>
          <w:rFonts w:ascii="仿宋_GB2312" w:eastAsia="仿宋_GB2312" w:hAnsi="仿宋" w:hint="eastAsia"/>
          <w:sz w:val="32"/>
          <w:szCs w:val="32"/>
        </w:rPr>
        <w:t>制定至少3个以上常见病及中医优势病种诊疗方案，并体现医院本院临床实际和特色，并在临床中得到应用</w:t>
      </w:r>
      <w:r w:rsidRPr="000E6CC9">
        <w:rPr>
          <w:rFonts w:ascii="仿宋_GB2312" w:eastAsia="仿宋_GB2312" w:hAnsi="宋体" w:hint="eastAsia"/>
          <w:sz w:val="32"/>
          <w:szCs w:val="32"/>
        </w:rPr>
        <w:t>。</w:t>
      </w:r>
      <w:r w:rsidRPr="000E6CC9">
        <w:rPr>
          <w:rFonts w:ascii="仿宋_GB2312" w:eastAsia="仿宋_GB2312" w:hAnsi="宋体" w:cs="宋体" w:hint="eastAsia"/>
          <w:kern w:val="0"/>
          <w:sz w:val="32"/>
          <w:szCs w:val="32"/>
        </w:rPr>
        <w:t>所抽查的2个临床科室6个病种中，符合要求的、完善的中医诊疗方案数量≥4个。</w:t>
      </w:r>
    </w:p>
    <w:p w:rsidR="000E6CC9" w:rsidRPr="000E6CC9" w:rsidRDefault="000E6CC9" w:rsidP="000E6CC9">
      <w:pPr>
        <w:adjustRightInd w:val="0"/>
        <w:snapToGrid w:val="0"/>
        <w:spacing w:line="600" w:lineRule="exact"/>
        <w:ind w:firstLine="600"/>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核心指标七：</w:t>
      </w:r>
      <w:r w:rsidRPr="000E6CC9">
        <w:rPr>
          <w:rFonts w:ascii="仿宋_GB2312" w:eastAsia="仿宋_GB2312" w:hAnsi="宋体" w:cs="宋体" w:hint="eastAsia"/>
          <w:kern w:val="0"/>
          <w:sz w:val="32"/>
          <w:szCs w:val="32"/>
        </w:rPr>
        <w:t>非药物中医技术治疗人次数占门诊总人次数的</w:t>
      </w:r>
      <w:r w:rsidRPr="000E6CC9">
        <w:rPr>
          <w:rFonts w:ascii="仿宋_GB2312" w:eastAsia="仿宋_GB2312" w:hAnsi="宋体" w:cs="宋体" w:hint="eastAsia"/>
          <w:kern w:val="0"/>
          <w:sz w:val="32"/>
          <w:szCs w:val="32"/>
        </w:rPr>
        <w:lastRenderedPageBreak/>
        <w:t>比例≥15%。</w:t>
      </w:r>
    </w:p>
    <w:p w:rsidR="000E6CC9" w:rsidRPr="000E6CC9" w:rsidRDefault="000E6CC9" w:rsidP="000E6CC9">
      <w:pPr>
        <w:adjustRightInd w:val="0"/>
        <w:snapToGrid w:val="0"/>
        <w:spacing w:line="600" w:lineRule="exact"/>
        <w:ind w:firstLine="600"/>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核心指标八：</w:t>
      </w:r>
      <w:r w:rsidRPr="000E6CC9">
        <w:rPr>
          <w:rFonts w:ascii="仿宋_GB2312" w:eastAsia="仿宋_GB2312" w:hAnsi="宋体" w:cs="宋体" w:hint="eastAsia"/>
          <w:kern w:val="0"/>
          <w:sz w:val="32"/>
          <w:szCs w:val="32"/>
        </w:rPr>
        <w:t>中药处方（饮片、中成药、院内制剂）处方数占门诊总处方数的平均比例应超过60%。中药饮片和医疗机构中药制剂处方数占门诊总处方数的比例超过40%；或比例在10%以下，但较上年度增长超过了7个百分点；或比例在10%-25%，但较上年度增长超过了5个百分点；或比例在25%-40%，但较上年度增长超过了3个百分点。</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核心指标九：</w:t>
      </w:r>
      <w:r w:rsidRPr="000E6CC9">
        <w:rPr>
          <w:rFonts w:ascii="仿宋_GB2312" w:eastAsia="仿宋_GB2312" w:hAnsi="宋体" w:cs="宋体" w:hint="eastAsia"/>
          <w:kern w:val="0"/>
          <w:sz w:val="32"/>
          <w:szCs w:val="32"/>
        </w:rPr>
        <w:t>建立中药饮片采购制度，采购程序符合相关规定，供应商资质齐全并对其定期评估。</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核心指标十：</w:t>
      </w:r>
      <w:r w:rsidRPr="000E6CC9">
        <w:rPr>
          <w:rFonts w:ascii="仿宋_GB2312" w:eastAsia="仿宋_GB2312" w:hAnsi="宋体" w:cs="宋体" w:hint="eastAsia"/>
          <w:kern w:val="0"/>
          <w:sz w:val="32"/>
          <w:szCs w:val="32"/>
        </w:rPr>
        <w:t>有中药饮片处方点评工作制度，开展中药饮片处方点评工作，工作记录完整。</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核心指标十一：</w:t>
      </w:r>
      <w:r w:rsidRPr="000E6CC9">
        <w:rPr>
          <w:rFonts w:ascii="仿宋_GB2312" w:eastAsia="仿宋_GB2312" w:hAnsi="宋体" w:hint="eastAsia"/>
          <w:kern w:val="0"/>
          <w:sz w:val="32"/>
          <w:szCs w:val="32"/>
        </w:rPr>
        <w:t>科室开展中医护理技术项目数符合要求，</w:t>
      </w:r>
      <w:r w:rsidRPr="000E6CC9">
        <w:rPr>
          <w:rFonts w:ascii="仿宋_GB2312" w:eastAsia="仿宋_GB2312" w:hAnsi="宋体" w:cs="宋体" w:hint="eastAsia"/>
          <w:kern w:val="0"/>
          <w:sz w:val="32"/>
          <w:szCs w:val="32"/>
        </w:rPr>
        <w:t>所抽查的3个科室，每个科室开展中医护理技术项目数≥4项。</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核心指标十二：</w:t>
      </w:r>
      <w:r w:rsidRPr="000E6CC9">
        <w:rPr>
          <w:rFonts w:ascii="仿宋_GB2312" w:eastAsia="仿宋_GB2312" w:hAnsi="宋体" w:cs="宋体" w:hint="eastAsia"/>
          <w:kern w:val="0"/>
          <w:sz w:val="32"/>
          <w:szCs w:val="32"/>
        </w:rPr>
        <w:t>门诊走廊、候诊区和住院部走廊宣传中医药知识，使用中医病名和中医术语，并与所在科室的中医药特色相结合。中药候药区宣传中医药相关知识。</w:t>
      </w:r>
    </w:p>
    <w:p w:rsidR="000E6CC9" w:rsidRPr="000E6CC9" w:rsidRDefault="000E6CC9" w:rsidP="000E6CC9">
      <w:pPr>
        <w:adjustRightInd w:val="0"/>
        <w:snapToGrid w:val="0"/>
        <w:spacing w:line="600" w:lineRule="exact"/>
        <w:ind w:firstLineChars="200" w:firstLine="651"/>
        <w:rPr>
          <w:rFonts w:ascii="仿宋_GB2312" w:eastAsia="仿宋_GB2312" w:hAnsi="宋体" w:cs="宋体"/>
          <w:spacing w:val="2"/>
          <w:kern w:val="0"/>
          <w:sz w:val="32"/>
          <w:szCs w:val="32"/>
        </w:rPr>
      </w:pPr>
      <w:r w:rsidRPr="000E6CC9">
        <w:rPr>
          <w:rFonts w:ascii="仿宋_GB2312" w:eastAsia="仿宋_GB2312" w:hAnsi="宋体" w:cs="宋体" w:hint="eastAsia"/>
          <w:b/>
          <w:spacing w:val="2"/>
          <w:kern w:val="0"/>
          <w:sz w:val="32"/>
          <w:szCs w:val="32"/>
        </w:rPr>
        <w:t>核心指标十三：</w:t>
      </w:r>
      <w:r w:rsidRPr="000E6CC9">
        <w:rPr>
          <w:rFonts w:ascii="仿宋_GB2312" w:eastAsia="仿宋_GB2312" w:hAnsi="宋体" w:cs="宋体" w:hint="eastAsia"/>
          <w:spacing w:val="2"/>
          <w:kern w:val="0"/>
          <w:sz w:val="32"/>
          <w:szCs w:val="32"/>
        </w:rPr>
        <w:t>治未病</w:t>
      </w:r>
      <w:r w:rsidRPr="000E6CC9">
        <w:rPr>
          <w:rFonts w:ascii="仿宋_GB2312" w:eastAsia="仿宋_GB2312" w:hAnsi="仿宋" w:hint="eastAsia"/>
          <w:spacing w:val="2"/>
          <w:kern w:val="0"/>
          <w:sz w:val="32"/>
          <w:szCs w:val="32"/>
        </w:rPr>
        <w:t>科室功能定位准确，为医院的一级科室。</w:t>
      </w:r>
    </w:p>
    <w:p w:rsidR="000E6CC9" w:rsidRPr="000E6CC9" w:rsidRDefault="000E6CC9" w:rsidP="000E6CC9">
      <w:pPr>
        <w:adjustRightInd w:val="0"/>
        <w:snapToGrid w:val="0"/>
        <w:spacing w:line="600" w:lineRule="exact"/>
        <w:ind w:firstLineChars="200" w:firstLine="643"/>
        <w:rPr>
          <w:rFonts w:ascii="仿宋_GB2312" w:eastAsia="仿宋_GB2312" w:hAnsi="Times New Roman"/>
          <w:sz w:val="32"/>
          <w:szCs w:val="32"/>
        </w:rPr>
      </w:pPr>
      <w:r w:rsidRPr="000E6CC9">
        <w:rPr>
          <w:rFonts w:ascii="楷体_GB2312" w:eastAsia="楷体_GB2312" w:hAnsi="宋体" w:cs="宋体" w:hint="eastAsia"/>
          <w:b/>
          <w:kern w:val="0"/>
          <w:sz w:val="32"/>
          <w:szCs w:val="32"/>
        </w:rPr>
        <w:t>（二）综合服务功能部分核心指标</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核心指标一：</w:t>
      </w:r>
      <w:r w:rsidRPr="000E6CC9">
        <w:rPr>
          <w:rFonts w:ascii="仿宋_GB2312" w:eastAsia="仿宋_GB2312" w:hAnsi="宋体" w:cs="宋体" w:hint="eastAsia"/>
          <w:kern w:val="0"/>
          <w:sz w:val="32"/>
          <w:szCs w:val="32"/>
        </w:rPr>
        <w:t>医院的功能、任务和定位明确，符合区域卫生规划和医疗机构设置规划要求，保持适度规模，医院编制及实有床位数均≥300张，科室设置、每床建筑面积、人员配备和设备、</w:t>
      </w:r>
      <w:r w:rsidRPr="000E6CC9">
        <w:rPr>
          <w:rFonts w:ascii="仿宋_GB2312" w:eastAsia="仿宋_GB2312" w:hAnsi="宋体" w:cs="宋体" w:hint="eastAsia"/>
          <w:kern w:val="0"/>
          <w:sz w:val="32"/>
          <w:szCs w:val="32"/>
        </w:rPr>
        <w:lastRenderedPageBreak/>
        <w:t>设施符合《三级中医骨伤医院基本标准》。</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核心指标二：</w:t>
      </w:r>
      <w:r w:rsidRPr="000E6CC9">
        <w:rPr>
          <w:rFonts w:ascii="仿宋_GB2312" w:eastAsia="仿宋_GB2312" w:hAnsi="宋体" w:cs="宋体" w:hint="eastAsia"/>
          <w:kern w:val="0"/>
          <w:sz w:val="32"/>
          <w:szCs w:val="32"/>
        </w:rPr>
        <w:t>加强急诊检诊、分诊，落实首诊负责制，及时救治急危重症患者。</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核心指标三：</w:t>
      </w:r>
      <w:r w:rsidRPr="000E6CC9">
        <w:rPr>
          <w:rFonts w:ascii="仿宋_GB2312" w:eastAsia="仿宋_GB2312" w:hAnsi="宋体" w:cs="宋体" w:hint="eastAsia"/>
          <w:kern w:val="0"/>
          <w:sz w:val="32"/>
          <w:szCs w:val="32"/>
        </w:rPr>
        <w:t>在诊疗活动中，严格执行“查对制度”，至少同时使用姓名、年龄两项等项目核对患者身份，确保对正确的患者实施正确的操作。</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核心指标四：</w:t>
      </w:r>
      <w:r w:rsidRPr="000E6CC9">
        <w:rPr>
          <w:rFonts w:ascii="仿宋_GB2312" w:eastAsia="仿宋_GB2312" w:hAnsi="宋体" w:cs="宋体" w:hint="eastAsia"/>
          <w:kern w:val="0"/>
          <w:sz w:val="32"/>
          <w:szCs w:val="32"/>
        </w:rPr>
        <w:t>建立手术安全核查管理制度与工作流程。</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核心指标五：</w:t>
      </w:r>
      <w:r w:rsidRPr="000E6CC9">
        <w:rPr>
          <w:rFonts w:ascii="仿宋_GB2312" w:eastAsia="仿宋_GB2312" w:hAnsi="宋体" w:cs="宋体" w:hint="eastAsia"/>
          <w:kern w:val="0"/>
          <w:sz w:val="32"/>
          <w:szCs w:val="32"/>
        </w:rPr>
        <w:t>制定多重耐药菌医院感染控制管理规范与程序，实施监管与改进。</w:t>
      </w:r>
    </w:p>
    <w:p w:rsidR="000E6CC9" w:rsidRPr="000E6CC9" w:rsidRDefault="000E6CC9" w:rsidP="000E6CC9">
      <w:pPr>
        <w:adjustRightInd w:val="0"/>
        <w:snapToGrid w:val="0"/>
        <w:spacing w:line="600" w:lineRule="exact"/>
        <w:ind w:firstLineChars="200" w:firstLine="651"/>
        <w:rPr>
          <w:rFonts w:ascii="仿宋_GB2312" w:eastAsia="仿宋_GB2312" w:hAnsi="宋体" w:cs="宋体"/>
          <w:spacing w:val="2"/>
          <w:kern w:val="0"/>
          <w:sz w:val="32"/>
          <w:szCs w:val="32"/>
        </w:rPr>
      </w:pPr>
      <w:r w:rsidRPr="000E6CC9">
        <w:rPr>
          <w:rFonts w:ascii="仿宋_GB2312" w:eastAsia="仿宋_GB2312" w:hAnsi="宋体" w:cs="宋体" w:hint="eastAsia"/>
          <w:b/>
          <w:spacing w:val="2"/>
          <w:kern w:val="0"/>
          <w:sz w:val="32"/>
          <w:szCs w:val="32"/>
        </w:rPr>
        <w:t>核心指标六：</w:t>
      </w:r>
      <w:r w:rsidRPr="000E6CC9">
        <w:rPr>
          <w:rFonts w:ascii="仿宋_GB2312" w:eastAsia="仿宋_GB2312" w:hAnsi="宋体" w:cs="宋体" w:hint="eastAsia"/>
          <w:spacing w:val="2"/>
          <w:kern w:val="0"/>
          <w:sz w:val="32"/>
          <w:szCs w:val="32"/>
        </w:rPr>
        <w:t>药事管理组织下设抗菌药物管理小组，人员结构合理、职责明确。对医务人员进行抗菌药物合理应用培训及考核。</w:t>
      </w:r>
    </w:p>
    <w:p w:rsidR="000E6CC9" w:rsidRPr="000E6CC9" w:rsidRDefault="000E6CC9" w:rsidP="000E6CC9">
      <w:pPr>
        <w:adjustRightInd w:val="0"/>
        <w:snapToGrid w:val="0"/>
        <w:spacing w:line="600" w:lineRule="exact"/>
        <w:ind w:firstLineChars="205" w:firstLine="659"/>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核心指标七：</w:t>
      </w:r>
      <w:r w:rsidRPr="000E6CC9">
        <w:rPr>
          <w:rFonts w:ascii="仿宋_GB2312" w:eastAsia="仿宋_GB2312" w:hAnsi="宋体" w:cs="宋体" w:hint="eastAsia"/>
          <w:kern w:val="0"/>
          <w:sz w:val="32"/>
          <w:szCs w:val="32"/>
        </w:rPr>
        <w:t>医院有优质护理服务规划、目标及实施方案，有推进开展优质护理服务的保障制度和措施及考评激励机制。</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核心指标八：</w:t>
      </w:r>
      <w:r w:rsidRPr="000E6CC9">
        <w:rPr>
          <w:rFonts w:ascii="仿宋_GB2312" w:eastAsia="仿宋_GB2312" w:hAnsi="宋体" w:cs="宋体" w:hint="eastAsia"/>
          <w:kern w:val="0"/>
          <w:sz w:val="32"/>
          <w:szCs w:val="32"/>
        </w:rPr>
        <w:t>在国家医疗卫生法律、法规、规章、诊疗护理规范的框架内开展诊疗活动。</w:t>
      </w:r>
    </w:p>
    <w:p w:rsidR="000E6CC9" w:rsidRP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核心指标九：</w:t>
      </w:r>
      <w:r w:rsidRPr="000E6CC9">
        <w:rPr>
          <w:rFonts w:ascii="仿宋_GB2312" w:eastAsia="仿宋_GB2312" w:hAnsi="宋体" w:cs="宋体" w:hint="eastAsia"/>
          <w:kern w:val="0"/>
          <w:sz w:val="32"/>
          <w:szCs w:val="32"/>
        </w:rPr>
        <w:t>由具备资质的卫生专业技术人员为患者提供诊疗服务，不超范围执业。</w:t>
      </w:r>
    </w:p>
    <w:p w:rsidR="000E6CC9" w:rsidRDefault="000E6CC9" w:rsidP="000E6CC9">
      <w:pPr>
        <w:adjustRightInd w:val="0"/>
        <w:snapToGrid w:val="0"/>
        <w:spacing w:line="600" w:lineRule="exact"/>
        <w:ind w:firstLineChars="200" w:firstLine="643"/>
        <w:rPr>
          <w:rFonts w:ascii="仿宋_GB2312" w:eastAsia="仿宋_GB2312" w:hAnsi="宋体" w:cs="宋体"/>
          <w:kern w:val="0"/>
          <w:sz w:val="32"/>
          <w:szCs w:val="32"/>
        </w:rPr>
      </w:pPr>
      <w:r w:rsidRPr="000E6CC9">
        <w:rPr>
          <w:rFonts w:ascii="仿宋_GB2312" w:eastAsia="仿宋_GB2312" w:hAnsi="宋体" w:cs="宋体" w:hint="eastAsia"/>
          <w:b/>
          <w:kern w:val="0"/>
          <w:sz w:val="32"/>
          <w:szCs w:val="32"/>
        </w:rPr>
        <w:t>核心指标十：</w:t>
      </w:r>
      <w:r w:rsidRPr="000E6CC9">
        <w:rPr>
          <w:rFonts w:ascii="仿宋_GB2312" w:eastAsia="仿宋_GB2312" w:hAnsi="宋体" w:cs="宋体" w:hint="eastAsia"/>
          <w:kern w:val="0"/>
          <w:sz w:val="32"/>
          <w:szCs w:val="32"/>
        </w:rPr>
        <w:t>急救、生命支持系统仪器设备始终保持在待用状态。</w:t>
      </w:r>
    </w:p>
    <w:p w:rsidR="00A41C2B" w:rsidRPr="001350CF" w:rsidRDefault="00A41C2B" w:rsidP="001350CF">
      <w:pPr>
        <w:adjustRightInd w:val="0"/>
        <w:snapToGrid w:val="0"/>
        <w:spacing w:line="640" w:lineRule="exact"/>
        <w:rPr>
          <w:rFonts w:ascii="仿宋_GB2312" w:eastAsia="仿宋_GB2312" w:hAnsi="宋体" w:cs="宋体" w:hint="eastAsia"/>
          <w:kern w:val="0"/>
          <w:sz w:val="32"/>
          <w:szCs w:val="32"/>
        </w:rPr>
      </w:pPr>
      <w:bookmarkStart w:id="0" w:name="_GoBack"/>
      <w:bookmarkEnd w:id="0"/>
    </w:p>
    <w:sectPr w:rsidR="00A41C2B" w:rsidRPr="001350CF" w:rsidSect="000D3953">
      <w:footerReference w:type="even" r:id="rId8"/>
      <w:footerReference w:type="default" r:id="rId9"/>
      <w:pgSz w:w="11906" w:h="16838"/>
      <w:pgMar w:top="1701" w:right="1531" w:bottom="1701" w:left="1531" w:header="851" w:footer="96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56" w:rsidRDefault="00AF4D56" w:rsidP="00005BAD">
      <w:r>
        <w:separator/>
      </w:r>
    </w:p>
  </w:endnote>
  <w:endnote w:type="continuationSeparator" w:id="0">
    <w:p w:rsidR="00AF4D56" w:rsidRDefault="00AF4D56" w:rsidP="000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2B" w:rsidRPr="00A41C2B" w:rsidRDefault="00130730" w:rsidP="00130730">
    <w:pPr>
      <w:pStyle w:val="a5"/>
      <w:tabs>
        <w:tab w:val="left" w:pos="8505"/>
      </w:tabs>
      <w:ind w:firstLineChars="100" w:firstLine="280"/>
      <w:rPr>
        <w:rFonts w:ascii="宋体" w:hAnsi="宋体"/>
        <w:sz w:val="28"/>
        <w:szCs w:val="28"/>
      </w:rPr>
    </w:pPr>
    <w:r w:rsidRPr="00A41C2B">
      <w:rPr>
        <w:rFonts w:ascii="宋体" w:hAnsi="宋体" w:hint="eastAsia"/>
        <w:sz w:val="28"/>
        <w:szCs w:val="28"/>
      </w:rPr>
      <w:t xml:space="preserve">— </w:t>
    </w:r>
    <w:r w:rsidRPr="00A41C2B">
      <w:rPr>
        <w:rFonts w:ascii="宋体" w:hAnsi="宋体"/>
        <w:sz w:val="28"/>
        <w:szCs w:val="28"/>
      </w:rPr>
      <w:fldChar w:fldCharType="begin"/>
    </w:r>
    <w:r w:rsidRPr="00A41C2B">
      <w:rPr>
        <w:rFonts w:ascii="宋体" w:hAnsi="宋体"/>
        <w:sz w:val="28"/>
        <w:szCs w:val="28"/>
      </w:rPr>
      <w:instrText xml:space="preserve"> PAGE   \* MERGEFORMAT </w:instrText>
    </w:r>
    <w:r w:rsidRPr="00A41C2B">
      <w:rPr>
        <w:rFonts w:ascii="宋体" w:hAnsi="宋体"/>
        <w:sz w:val="28"/>
        <w:szCs w:val="28"/>
      </w:rPr>
      <w:fldChar w:fldCharType="separate"/>
    </w:r>
    <w:r w:rsidR="001350CF" w:rsidRPr="001350CF">
      <w:rPr>
        <w:rFonts w:ascii="宋体" w:hAnsi="宋体"/>
        <w:noProof/>
        <w:sz w:val="28"/>
        <w:szCs w:val="28"/>
        <w:lang w:val="zh-CN"/>
      </w:rPr>
      <w:t>4</w:t>
    </w:r>
    <w:r w:rsidRPr="00A41C2B">
      <w:rPr>
        <w:rFonts w:ascii="宋体" w:hAnsi="宋体"/>
        <w:sz w:val="28"/>
        <w:szCs w:val="28"/>
      </w:rPr>
      <w:fldChar w:fldCharType="end"/>
    </w:r>
    <w:r w:rsidRPr="00A41C2B">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2B" w:rsidRPr="00A41C2B" w:rsidRDefault="00A41C2B" w:rsidP="007A29CE">
    <w:pPr>
      <w:pStyle w:val="a5"/>
      <w:tabs>
        <w:tab w:val="left" w:pos="8505"/>
      </w:tabs>
      <w:ind w:firstLineChars="2683" w:firstLine="7512"/>
      <w:rPr>
        <w:rFonts w:ascii="宋体" w:hAnsi="宋体"/>
        <w:sz w:val="28"/>
        <w:szCs w:val="28"/>
      </w:rPr>
    </w:pPr>
    <w:r w:rsidRPr="00A41C2B">
      <w:rPr>
        <w:rFonts w:ascii="宋体" w:hAnsi="宋体" w:hint="eastAsia"/>
        <w:sz w:val="28"/>
        <w:szCs w:val="28"/>
      </w:rPr>
      <w:t xml:space="preserve">— </w:t>
    </w:r>
    <w:r w:rsidR="000D26A9" w:rsidRPr="00A41C2B">
      <w:rPr>
        <w:rFonts w:ascii="宋体" w:hAnsi="宋体"/>
        <w:sz w:val="28"/>
        <w:szCs w:val="28"/>
      </w:rPr>
      <w:fldChar w:fldCharType="begin"/>
    </w:r>
    <w:r w:rsidRPr="00A41C2B">
      <w:rPr>
        <w:rFonts w:ascii="宋体" w:hAnsi="宋体"/>
        <w:sz w:val="28"/>
        <w:szCs w:val="28"/>
      </w:rPr>
      <w:instrText xml:space="preserve"> PAGE   \* MERGEFORMAT </w:instrText>
    </w:r>
    <w:r w:rsidR="000D26A9" w:rsidRPr="00A41C2B">
      <w:rPr>
        <w:rFonts w:ascii="宋体" w:hAnsi="宋体"/>
        <w:sz w:val="28"/>
        <w:szCs w:val="28"/>
      </w:rPr>
      <w:fldChar w:fldCharType="separate"/>
    </w:r>
    <w:r w:rsidR="001350CF" w:rsidRPr="001350CF">
      <w:rPr>
        <w:rFonts w:ascii="宋体" w:hAnsi="宋体"/>
        <w:noProof/>
        <w:sz w:val="28"/>
        <w:szCs w:val="28"/>
        <w:lang w:val="zh-CN"/>
      </w:rPr>
      <w:t>5</w:t>
    </w:r>
    <w:r w:rsidR="000D26A9" w:rsidRPr="00A41C2B">
      <w:rPr>
        <w:rFonts w:ascii="宋体" w:hAnsi="宋体"/>
        <w:sz w:val="28"/>
        <w:szCs w:val="28"/>
      </w:rPr>
      <w:fldChar w:fldCharType="end"/>
    </w:r>
    <w:r w:rsidRPr="00A41C2B">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56" w:rsidRDefault="00AF4D56" w:rsidP="00005BAD">
      <w:r>
        <w:separator/>
      </w:r>
    </w:p>
  </w:footnote>
  <w:footnote w:type="continuationSeparator" w:id="0">
    <w:p w:rsidR="00AF4D56" w:rsidRDefault="00AF4D56" w:rsidP="00005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DCE"/>
    <w:multiLevelType w:val="hybridMultilevel"/>
    <w:tmpl w:val="F91E9006"/>
    <w:lvl w:ilvl="0" w:tplc="02AE328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F4F0DBA"/>
    <w:multiLevelType w:val="hybridMultilevel"/>
    <w:tmpl w:val="C81205D0"/>
    <w:lvl w:ilvl="0" w:tplc="A0AC7556">
      <w:start w:val="1"/>
      <w:numFmt w:val="japaneseCounting"/>
      <w:lvlText w:val="（%1）"/>
      <w:lvlJc w:val="left"/>
      <w:pPr>
        <w:ind w:left="2865" w:hanging="1080"/>
      </w:pPr>
      <w:rPr>
        <w:rFonts w:hint="default"/>
      </w:rPr>
    </w:lvl>
    <w:lvl w:ilvl="1" w:tplc="04090019" w:tentative="1">
      <w:start w:val="1"/>
      <w:numFmt w:val="lowerLetter"/>
      <w:lvlText w:val="%2)"/>
      <w:lvlJc w:val="left"/>
      <w:pPr>
        <w:ind w:left="2625" w:hanging="420"/>
      </w:pPr>
    </w:lvl>
    <w:lvl w:ilvl="2" w:tplc="0409001B" w:tentative="1">
      <w:start w:val="1"/>
      <w:numFmt w:val="lowerRoman"/>
      <w:lvlText w:val="%3."/>
      <w:lvlJc w:val="right"/>
      <w:pPr>
        <w:ind w:left="3045" w:hanging="420"/>
      </w:pPr>
    </w:lvl>
    <w:lvl w:ilvl="3" w:tplc="0409000F" w:tentative="1">
      <w:start w:val="1"/>
      <w:numFmt w:val="decimal"/>
      <w:lvlText w:val="%4."/>
      <w:lvlJc w:val="left"/>
      <w:pPr>
        <w:ind w:left="3465" w:hanging="420"/>
      </w:pPr>
    </w:lvl>
    <w:lvl w:ilvl="4" w:tplc="04090019" w:tentative="1">
      <w:start w:val="1"/>
      <w:numFmt w:val="lowerLetter"/>
      <w:lvlText w:val="%5)"/>
      <w:lvlJc w:val="left"/>
      <w:pPr>
        <w:ind w:left="3885" w:hanging="420"/>
      </w:pPr>
    </w:lvl>
    <w:lvl w:ilvl="5" w:tplc="0409001B" w:tentative="1">
      <w:start w:val="1"/>
      <w:numFmt w:val="lowerRoman"/>
      <w:lvlText w:val="%6."/>
      <w:lvlJc w:val="right"/>
      <w:pPr>
        <w:ind w:left="4305" w:hanging="420"/>
      </w:pPr>
    </w:lvl>
    <w:lvl w:ilvl="6" w:tplc="0409000F" w:tentative="1">
      <w:start w:val="1"/>
      <w:numFmt w:val="decimal"/>
      <w:lvlText w:val="%7."/>
      <w:lvlJc w:val="left"/>
      <w:pPr>
        <w:ind w:left="4725" w:hanging="420"/>
      </w:pPr>
    </w:lvl>
    <w:lvl w:ilvl="7" w:tplc="04090019" w:tentative="1">
      <w:start w:val="1"/>
      <w:numFmt w:val="lowerLetter"/>
      <w:lvlText w:val="%8)"/>
      <w:lvlJc w:val="left"/>
      <w:pPr>
        <w:ind w:left="5145" w:hanging="420"/>
      </w:pPr>
    </w:lvl>
    <w:lvl w:ilvl="8" w:tplc="0409001B" w:tentative="1">
      <w:start w:val="1"/>
      <w:numFmt w:val="lowerRoman"/>
      <w:lvlText w:val="%9."/>
      <w:lvlJc w:val="right"/>
      <w:pPr>
        <w:ind w:left="5565" w:hanging="420"/>
      </w:pPr>
    </w:lvl>
  </w:abstractNum>
  <w:abstractNum w:abstractNumId="2" w15:restartNumberingAfterBreak="0">
    <w:nsid w:val="5AE85074"/>
    <w:multiLevelType w:val="hybridMultilevel"/>
    <w:tmpl w:val="139E120A"/>
    <w:lvl w:ilvl="0" w:tplc="17BAB494">
      <w:start w:val="1"/>
      <w:numFmt w:val="japaneseCounting"/>
      <w:lvlText w:val="%1、"/>
      <w:lvlJc w:val="left"/>
      <w:pPr>
        <w:ind w:left="1740" w:hanging="114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E694920"/>
    <w:multiLevelType w:val="hybridMultilevel"/>
    <w:tmpl w:val="B6C2C3B2"/>
    <w:lvl w:ilvl="0" w:tplc="BF8CEB98">
      <w:start w:val="1"/>
      <w:numFmt w:val="japaneseCounting"/>
      <w:lvlText w:val="%1、"/>
      <w:lvlJc w:val="left"/>
      <w:pPr>
        <w:ind w:left="1785" w:hanging="118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45"/>
    <w:rsid w:val="0000247B"/>
    <w:rsid w:val="00005BAD"/>
    <w:rsid w:val="000114AF"/>
    <w:rsid w:val="00024360"/>
    <w:rsid w:val="000342E1"/>
    <w:rsid w:val="00036760"/>
    <w:rsid w:val="00042732"/>
    <w:rsid w:val="00046C1A"/>
    <w:rsid w:val="000521C6"/>
    <w:rsid w:val="0008423C"/>
    <w:rsid w:val="000A2CD0"/>
    <w:rsid w:val="000B014B"/>
    <w:rsid w:val="000B064C"/>
    <w:rsid w:val="000B646C"/>
    <w:rsid w:val="000C3093"/>
    <w:rsid w:val="000D26A9"/>
    <w:rsid w:val="000D3953"/>
    <w:rsid w:val="000E16FE"/>
    <w:rsid w:val="000E6CC9"/>
    <w:rsid w:val="000F0946"/>
    <w:rsid w:val="000F60F8"/>
    <w:rsid w:val="00111B22"/>
    <w:rsid w:val="0012557D"/>
    <w:rsid w:val="00130730"/>
    <w:rsid w:val="001350CF"/>
    <w:rsid w:val="001354C0"/>
    <w:rsid w:val="0014514D"/>
    <w:rsid w:val="0015419A"/>
    <w:rsid w:val="0016679F"/>
    <w:rsid w:val="00175EE7"/>
    <w:rsid w:val="001910B1"/>
    <w:rsid w:val="001916DF"/>
    <w:rsid w:val="00191955"/>
    <w:rsid w:val="00196204"/>
    <w:rsid w:val="001A4CCE"/>
    <w:rsid w:val="001C2AF0"/>
    <w:rsid w:val="001C4C0C"/>
    <w:rsid w:val="001D3207"/>
    <w:rsid w:val="001D6019"/>
    <w:rsid w:val="001E2467"/>
    <w:rsid w:val="001E52DB"/>
    <w:rsid w:val="001E531A"/>
    <w:rsid w:val="001F3ACB"/>
    <w:rsid w:val="001F7181"/>
    <w:rsid w:val="0023469A"/>
    <w:rsid w:val="00235F90"/>
    <w:rsid w:val="00247662"/>
    <w:rsid w:val="002626AC"/>
    <w:rsid w:val="00282364"/>
    <w:rsid w:val="002A1C8F"/>
    <w:rsid w:val="002A38E6"/>
    <w:rsid w:val="002B1FC0"/>
    <w:rsid w:val="002E0D3C"/>
    <w:rsid w:val="002E1FBA"/>
    <w:rsid w:val="002E5026"/>
    <w:rsid w:val="002E596E"/>
    <w:rsid w:val="002F0328"/>
    <w:rsid w:val="002F2204"/>
    <w:rsid w:val="002F3FE3"/>
    <w:rsid w:val="00324538"/>
    <w:rsid w:val="003272BD"/>
    <w:rsid w:val="00330F0B"/>
    <w:rsid w:val="003539FB"/>
    <w:rsid w:val="003563FA"/>
    <w:rsid w:val="00376935"/>
    <w:rsid w:val="00383B85"/>
    <w:rsid w:val="0038561F"/>
    <w:rsid w:val="003A1BC6"/>
    <w:rsid w:val="003A79F8"/>
    <w:rsid w:val="003B0A2A"/>
    <w:rsid w:val="003B51AD"/>
    <w:rsid w:val="003C427A"/>
    <w:rsid w:val="003D1200"/>
    <w:rsid w:val="003D63D9"/>
    <w:rsid w:val="003E29D1"/>
    <w:rsid w:val="003E5908"/>
    <w:rsid w:val="00410502"/>
    <w:rsid w:val="004262D1"/>
    <w:rsid w:val="00443141"/>
    <w:rsid w:val="00443B28"/>
    <w:rsid w:val="0046085D"/>
    <w:rsid w:val="00461E18"/>
    <w:rsid w:val="00466247"/>
    <w:rsid w:val="00470939"/>
    <w:rsid w:val="00474C22"/>
    <w:rsid w:val="004A455A"/>
    <w:rsid w:val="004A7558"/>
    <w:rsid w:val="004C074B"/>
    <w:rsid w:val="004C34FA"/>
    <w:rsid w:val="004D1C42"/>
    <w:rsid w:val="004E40B3"/>
    <w:rsid w:val="004F1C6F"/>
    <w:rsid w:val="004F44DC"/>
    <w:rsid w:val="004F639D"/>
    <w:rsid w:val="004F73D1"/>
    <w:rsid w:val="00530180"/>
    <w:rsid w:val="00530C70"/>
    <w:rsid w:val="005407BC"/>
    <w:rsid w:val="00541152"/>
    <w:rsid w:val="005550FE"/>
    <w:rsid w:val="00566D08"/>
    <w:rsid w:val="00571D9A"/>
    <w:rsid w:val="00575B5B"/>
    <w:rsid w:val="005770D0"/>
    <w:rsid w:val="00577A45"/>
    <w:rsid w:val="00596E87"/>
    <w:rsid w:val="005A0EE7"/>
    <w:rsid w:val="005A579C"/>
    <w:rsid w:val="005C6716"/>
    <w:rsid w:val="005F57F3"/>
    <w:rsid w:val="00617C6D"/>
    <w:rsid w:val="0064764C"/>
    <w:rsid w:val="00652FA2"/>
    <w:rsid w:val="00667140"/>
    <w:rsid w:val="00667E31"/>
    <w:rsid w:val="00686429"/>
    <w:rsid w:val="006D0F49"/>
    <w:rsid w:val="006E4DD1"/>
    <w:rsid w:val="006E6BF1"/>
    <w:rsid w:val="006F1AA7"/>
    <w:rsid w:val="006F39DF"/>
    <w:rsid w:val="00706508"/>
    <w:rsid w:val="00714446"/>
    <w:rsid w:val="00714D66"/>
    <w:rsid w:val="00720F3F"/>
    <w:rsid w:val="00723620"/>
    <w:rsid w:val="00734240"/>
    <w:rsid w:val="00734473"/>
    <w:rsid w:val="00741049"/>
    <w:rsid w:val="00754C3F"/>
    <w:rsid w:val="00757F96"/>
    <w:rsid w:val="007602B0"/>
    <w:rsid w:val="007632F0"/>
    <w:rsid w:val="00784E2E"/>
    <w:rsid w:val="007A26B4"/>
    <w:rsid w:val="007A29CE"/>
    <w:rsid w:val="007B5EDB"/>
    <w:rsid w:val="007C234B"/>
    <w:rsid w:val="007D1CA2"/>
    <w:rsid w:val="007E3DA0"/>
    <w:rsid w:val="007E755C"/>
    <w:rsid w:val="0080183A"/>
    <w:rsid w:val="008379B5"/>
    <w:rsid w:val="00845535"/>
    <w:rsid w:val="0085258B"/>
    <w:rsid w:val="00897BB9"/>
    <w:rsid w:val="008A097E"/>
    <w:rsid w:val="008A6B30"/>
    <w:rsid w:val="008B5B1A"/>
    <w:rsid w:val="008C2401"/>
    <w:rsid w:val="008C6E6E"/>
    <w:rsid w:val="008E45B1"/>
    <w:rsid w:val="0092645F"/>
    <w:rsid w:val="009264DF"/>
    <w:rsid w:val="00936535"/>
    <w:rsid w:val="00943F4A"/>
    <w:rsid w:val="00954C43"/>
    <w:rsid w:val="00957D35"/>
    <w:rsid w:val="009624DD"/>
    <w:rsid w:val="00964255"/>
    <w:rsid w:val="00973FD3"/>
    <w:rsid w:val="00974E0D"/>
    <w:rsid w:val="009A54F8"/>
    <w:rsid w:val="009B464C"/>
    <w:rsid w:val="009B5545"/>
    <w:rsid w:val="009C4E73"/>
    <w:rsid w:val="009D26A7"/>
    <w:rsid w:val="009E1A6E"/>
    <w:rsid w:val="009F2899"/>
    <w:rsid w:val="009F2986"/>
    <w:rsid w:val="009F4709"/>
    <w:rsid w:val="009F5084"/>
    <w:rsid w:val="00A00FE9"/>
    <w:rsid w:val="00A07407"/>
    <w:rsid w:val="00A07D2F"/>
    <w:rsid w:val="00A227BE"/>
    <w:rsid w:val="00A257C0"/>
    <w:rsid w:val="00A25EAD"/>
    <w:rsid w:val="00A27A3D"/>
    <w:rsid w:val="00A41C2B"/>
    <w:rsid w:val="00A54D84"/>
    <w:rsid w:val="00A552BB"/>
    <w:rsid w:val="00A712F2"/>
    <w:rsid w:val="00A86342"/>
    <w:rsid w:val="00A90085"/>
    <w:rsid w:val="00A964C7"/>
    <w:rsid w:val="00A969A7"/>
    <w:rsid w:val="00AA1DB6"/>
    <w:rsid w:val="00AA450E"/>
    <w:rsid w:val="00AC4DE0"/>
    <w:rsid w:val="00AD110C"/>
    <w:rsid w:val="00AD2055"/>
    <w:rsid w:val="00AD6ECC"/>
    <w:rsid w:val="00AE1EB6"/>
    <w:rsid w:val="00AF4D56"/>
    <w:rsid w:val="00B00FBA"/>
    <w:rsid w:val="00B173CA"/>
    <w:rsid w:val="00B45691"/>
    <w:rsid w:val="00B5237A"/>
    <w:rsid w:val="00B63D27"/>
    <w:rsid w:val="00B66834"/>
    <w:rsid w:val="00B718DE"/>
    <w:rsid w:val="00B72CBD"/>
    <w:rsid w:val="00B75C14"/>
    <w:rsid w:val="00B82F89"/>
    <w:rsid w:val="00B852F4"/>
    <w:rsid w:val="00BF4EAD"/>
    <w:rsid w:val="00BF6AED"/>
    <w:rsid w:val="00C07808"/>
    <w:rsid w:val="00C14A6D"/>
    <w:rsid w:val="00C46B23"/>
    <w:rsid w:val="00C612DF"/>
    <w:rsid w:val="00C81467"/>
    <w:rsid w:val="00C8277E"/>
    <w:rsid w:val="00C85395"/>
    <w:rsid w:val="00C87F37"/>
    <w:rsid w:val="00CA57BD"/>
    <w:rsid w:val="00CA5840"/>
    <w:rsid w:val="00CB1131"/>
    <w:rsid w:val="00CD6DE5"/>
    <w:rsid w:val="00CE0A55"/>
    <w:rsid w:val="00CE645D"/>
    <w:rsid w:val="00CF5A56"/>
    <w:rsid w:val="00CF6272"/>
    <w:rsid w:val="00CF7296"/>
    <w:rsid w:val="00D06175"/>
    <w:rsid w:val="00D07071"/>
    <w:rsid w:val="00D07EFD"/>
    <w:rsid w:val="00D33398"/>
    <w:rsid w:val="00D3739C"/>
    <w:rsid w:val="00D40054"/>
    <w:rsid w:val="00D406E6"/>
    <w:rsid w:val="00D41AFA"/>
    <w:rsid w:val="00D52928"/>
    <w:rsid w:val="00D84403"/>
    <w:rsid w:val="00D94863"/>
    <w:rsid w:val="00D950D6"/>
    <w:rsid w:val="00D955E2"/>
    <w:rsid w:val="00D96DC3"/>
    <w:rsid w:val="00DA202D"/>
    <w:rsid w:val="00DA6C60"/>
    <w:rsid w:val="00DA7EAA"/>
    <w:rsid w:val="00DD56E1"/>
    <w:rsid w:val="00DD7D34"/>
    <w:rsid w:val="00DE108A"/>
    <w:rsid w:val="00E02246"/>
    <w:rsid w:val="00E04694"/>
    <w:rsid w:val="00E23154"/>
    <w:rsid w:val="00E33D4D"/>
    <w:rsid w:val="00E37095"/>
    <w:rsid w:val="00E40CF4"/>
    <w:rsid w:val="00E579C9"/>
    <w:rsid w:val="00E609B2"/>
    <w:rsid w:val="00E715A4"/>
    <w:rsid w:val="00E93513"/>
    <w:rsid w:val="00EA0175"/>
    <w:rsid w:val="00EB1A0C"/>
    <w:rsid w:val="00EB2DC6"/>
    <w:rsid w:val="00EC0B5E"/>
    <w:rsid w:val="00EC5ED1"/>
    <w:rsid w:val="00EE746E"/>
    <w:rsid w:val="00EF5BD3"/>
    <w:rsid w:val="00F0394D"/>
    <w:rsid w:val="00F13EDE"/>
    <w:rsid w:val="00F16010"/>
    <w:rsid w:val="00F30643"/>
    <w:rsid w:val="00F35643"/>
    <w:rsid w:val="00F4633D"/>
    <w:rsid w:val="00F5585E"/>
    <w:rsid w:val="00F56CCE"/>
    <w:rsid w:val="00F930D1"/>
    <w:rsid w:val="00FB76BA"/>
    <w:rsid w:val="00FC25DD"/>
    <w:rsid w:val="00FC4AF0"/>
    <w:rsid w:val="00FC5BC9"/>
    <w:rsid w:val="00FC5E09"/>
    <w:rsid w:val="00FD24B5"/>
    <w:rsid w:val="00FE1688"/>
    <w:rsid w:val="00FF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92EBECF"/>
  <w15:docId w15:val="{C3DD6A6F-6361-412A-BDE8-EC4F214B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5B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05BAD"/>
    <w:rPr>
      <w:sz w:val="18"/>
      <w:szCs w:val="18"/>
    </w:rPr>
  </w:style>
  <w:style w:type="paragraph" w:styleId="a5">
    <w:name w:val="footer"/>
    <w:basedOn w:val="a"/>
    <w:link w:val="a6"/>
    <w:uiPriority w:val="99"/>
    <w:unhideWhenUsed/>
    <w:rsid w:val="00005BAD"/>
    <w:pPr>
      <w:tabs>
        <w:tab w:val="center" w:pos="4153"/>
        <w:tab w:val="right" w:pos="8306"/>
      </w:tabs>
      <w:snapToGrid w:val="0"/>
      <w:jc w:val="left"/>
    </w:pPr>
    <w:rPr>
      <w:sz w:val="18"/>
      <w:szCs w:val="18"/>
    </w:rPr>
  </w:style>
  <w:style w:type="character" w:customStyle="1" w:styleId="a6">
    <w:name w:val="页脚 字符"/>
    <w:basedOn w:val="a0"/>
    <w:link w:val="a5"/>
    <w:uiPriority w:val="99"/>
    <w:rsid w:val="00005BAD"/>
    <w:rPr>
      <w:sz w:val="18"/>
      <w:szCs w:val="18"/>
    </w:rPr>
  </w:style>
  <w:style w:type="table" w:styleId="a7">
    <w:name w:val="Table Grid"/>
    <w:basedOn w:val="a1"/>
    <w:uiPriority w:val="59"/>
    <w:rsid w:val="00005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227BE"/>
    <w:pPr>
      <w:ind w:firstLineChars="200" w:firstLine="420"/>
    </w:pPr>
  </w:style>
  <w:style w:type="character" w:styleId="a9">
    <w:name w:val="Hyperlink"/>
    <w:basedOn w:val="a0"/>
    <w:uiPriority w:val="99"/>
    <w:unhideWhenUsed/>
    <w:rsid w:val="00757F96"/>
    <w:rPr>
      <w:color w:val="0000FF"/>
      <w:u w:val="single"/>
    </w:rPr>
  </w:style>
  <w:style w:type="paragraph" w:styleId="aa">
    <w:name w:val="Date"/>
    <w:basedOn w:val="a"/>
    <w:next w:val="a"/>
    <w:link w:val="ab"/>
    <w:uiPriority w:val="99"/>
    <w:semiHidden/>
    <w:unhideWhenUsed/>
    <w:rsid w:val="00A41C2B"/>
    <w:pPr>
      <w:ind w:leftChars="2500" w:left="100"/>
    </w:pPr>
  </w:style>
  <w:style w:type="character" w:customStyle="1" w:styleId="ab">
    <w:name w:val="日期 字符"/>
    <w:basedOn w:val="a0"/>
    <w:link w:val="aa"/>
    <w:uiPriority w:val="99"/>
    <w:semiHidden/>
    <w:rsid w:val="00A41C2B"/>
  </w:style>
  <w:style w:type="paragraph" w:styleId="ac">
    <w:name w:val="Balloon Text"/>
    <w:basedOn w:val="a"/>
    <w:link w:val="ad"/>
    <w:uiPriority w:val="99"/>
    <w:semiHidden/>
    <w:unhideWhenUsed/>
    <w:rsid w:val="00EB1A0C"/>
    <w:rPr>
      <w:sz w:val="18"/>
      <w:szCs w:val="18"/>
    </w:rPr>
  </w:style>
  <w:style w:type="character" w:customStyle="1" w:styleId="ad">
    <w:name w:val="批注框文本 字符"/>
    <w:basedOn w:val="a0"/>
    <w:link w:val="ac"/>
    <w:uiPriority w:val="99"/>
    <w:semiHidden/>
    <w:rsid w:val="00EB1A0C"/>
    <w:rPr>
      <w:kern w:val="2"/>
      <w:sz w:val="18"/>
      <w:szCs w:val="18"/>
    </w:rPr>
  </w:style>
  <w:style w:type="paragraph" w:styleId="ae">
    <w:name w:val="Normal (Web)"/>
    <w:basedOn w:val="a"/>
    <w:rsid w:val="00E02246"/>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870">
      <w:bodyDiv w:val="1"/>
      <w:marLeft w:val="0"/>
      <w:marRight w:val="0"/>
      <w:marTop w:val="0"/>
      <w:marBottom w:val="0"/>
      <w:divBdr>
        <w:top w:val="none" w:sz="0" w:space="0" w:color="auto"/>
        <w:left w:val="none" w:sz="0" w:space="0" w:color="auto"/>
        <w:bottom w:val="none" w:sz="0" w:space="0" w:color="auto"/>
        <w:right w:val="none" w:sz="0" w:space="0" w:color="auto"/>
      </w:divBdr>
    </w:div>
    <w:div w:id="109057330">
      <w:bodyDiv w:val="1"/>
      <w:marLeft w:val="0"/>
      <w:marRight w:val="0"/>
      <w:marTop w:val="0"/>
      <w:marBottom w:val="0"/>
      <w:divBdr>
        <w:top w:val="none" w:sz="0" w:space="0" w:color="auto"/>
        <w:left w:val="none" w:sz="0" w:space="0" w:color="auto"/>
        <w:bottom w:val="none" w:sz="0" w:space="0" w:color="auto"/>
        <w:right w:val="none" w:sz="0" w:space="0" w:color="auto"/>
      </w:divBdr>
    </w:div>
    <w:div w:id="14950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F68F-A44C-4971-9901-F1C85D10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349</Words>
  <Characters>1991</Characters>
  <Application>Microsoft Office Word</Application>
  <DocSecurity>0</DocSecurity>
  <Lines>16</Lines>
  <Paragraphs>4</Paragraphs>
  <ScaleCrop>false</ScaleCrop>
  <Company>您的公司名</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wolf red</cp:lastModifiedBy>
  <cp:revision>3</cp:revision>
  <cp:lastPrinted>2017-10-24T01:24:00Z</cp:lastPrinted>
  <dcterms:created xsi:type="dcterms:W3CDTF">2017-10-24T07:11:00Z</dcterms:created>
  <dcterms:modified xsi:type="dcterms:W3CDTF">2017-10-24T07:11:00Z</dcterms:modified>
</cp:coreProperties>
</file>